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7570" w14:textId="77777777" w:rsidR="00CE28C9" w:rsidRDefault="00CE28C9" w:rsidP="00CE2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lang w:val="en-US"/>
        </w:rPr>
      </w:pPr>
    </w:p>
    <w:p w14:paraId="5A274D52" w14:textId="36E1F638" w:rsidR="007C237A" w:rsidRPr="00687C94" w:rsidRDefault="00A455FB" w:rsidP="007C2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SAMPLE</w:t>
      </w:r>
      <w:r w:rsidR="007C237A" w:rsidRPr="00687C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PROXY LETTER</w:t>
      </w:r>
    </w:p>
    <w:p w14:paraId="30CE3A3A" w14:textId="77777777" w:rsidR="007C237A" w:rsidRPr="00687C94" w:rsidRDefault="007C237A" w:rsidP="007C2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29C8B13" w14:textId="4A8364EC" w:rsidR="007C237A" w:rsidRPr="00687C94" w:rsidRDefault="007C237A" w:rsidP="007C237A">
      <w:pPr>
        <w:pStyle w:val="Prrafodelista"/>
        <w:tabs>
          <w:tab w:val="left" w:pos="3243"/>
          <w:tab w:val="center" w:pos="4252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CEAC3F8" w14:textId="066B426D" w:rsidR="007C237A" w:rsidRPr="006A0C11" w:rsidRDefault="007C237A" w:rsidP="007C237A">
      <w:pPr>
        <w:pStyle w:val="Normal0"/>
        <w:jc w:val="right"/>
        <w:rPr>
          <w:sz w:val="20"/>
        </w:rPr>
      </w:pPr>
      <w:r w:rsidRPr="006A0C11">
        <w:rPr>
          <w:sz w:val="20"/>
        </w:rPr>
        <w:t>[City], [Date]</w:t>
      </w:r>
      <w:r w:rsidRPr="006A0C11">
        <w:rPr>
          <w:iCs/>
          <w:sz w:val="20"/>
          <w:lang w:eastAsia="es-ES"/>
        </w:rPr>
        <w:t xml:space="preserve">, </w:t>
      </w:r>
      <w:r w:rsidRPr="006A0C11">
        <w:rPr>
          <w:sz w:val="20"/>
        </w:rPr>
        <w:t>2024</w:t>
      </w:r>
    </w:p>
    <w:p w14:paraId="756CCDF8" w14:textId="77777777" w:rsidR="007C237A" w:rsidRPr="006A0C11" w:rsidRDefault="007C237A" w:rsidP="007C237A">
      <w:pPr>
        <w:pStyle w:val="Normal0"/>
        <w:rPr>
          <w:sz w:val="20"/>
        </w:rPr>
      </w:pPr>
    </w:p>
    <w:p w14:paraId="6A268ADE" w14:textId="77777777" w:rsidR="007C237A" w:rsidRPr="006A0C11" w:rsidRDefault="007C237A" w:rsidP="007C237A">
      <w:pPr>
        <w:pStyle w:val="Normal0"/>
        <w:rPr>
          <w:sz w:val="20"/>
        </w:rPr>
      </w:pPr>
    </w:p>
    <w:p w14:paraId="63AA5684" w14:textId="3D960FE2" w:rsidR="007C237A" w:rsidRPr="006A0C11" w:rsidRDefault="007C237A" w:rsidP="007C237A">
      <w:pPr>
        <w:pStyle w:val="Normal0"/>
        <w:rPr>
          <w:sz w:val="20"/>
        </w:rPr>
      </w:pPr>
      <w:r w:rsidRPr="006A0C11">
        <w:rPr>
          <w:sz w:val="20"/>
        </w:rPr>
        <w:t xml:space="preserve">To </w:t>
      </w:r>
    </w:p>
    <w:p w14:paraId="18C5E710" w14:textId="77777777" w:rsidR="007C237A" w:rsidRPr="006A0C11" w:rsidRDefault="007C237A" w:rsidP="007C237A">
      <w:pPr>
        <w:pStyle w:val="Normal0"/>
        <w:rPr>
          <w:b/>
          <w:sz w:val="20"/>
        </w:rPr>
      </w:pPr>
      <w:r w:rsidRPr="006A0C11">
        <w:rPr>
          <w:b/>
          <w:sz w:val="20"/>
        </w:rPr>
        <w:t>Intercorp Financial Services Inc.</w:t>
      </w:r>
    </w:p>
    <w:p w14:paraId="7B3E13DF" w14:textId="77777777" w:rsidR="007C237A" w:rsidRPr="006A0C11" w:rsidRDefault="007C237A" w:rsidP="007C237A">
      <w:pPr>
        <w:pStyle w:val="Normal0"/>
        <w:rPr>
          <w:b/>
          <w:sz w:val="20"/>
        </w:rPr>
      </w:pPr>
    </w:p>
    <w:p w14:paraId="178D41A8" w14:textId="4D389845" w:rsidR="007C237A" w:rsidRPr="007C237A" w:rsidRDefault="007C237A" w:rsidP="007C237A">
      <w:pPr>
        <w:pStyle w:val="Normal0"/>
        <w:jc w:val="both"/>
        <w:rPr>
          <w:sz w:val="20"/>
        </w:rPr>
      </w:pPr>
      <w:r w:rsidRPr="007C237A">
        <w:rPr>
          <w:sz w:val="20"/>
        </w:rPr>
        <w:t>Dear Sir/Madam,</w:t>
      </w:r>
    </w:p>
    <w:p w14:paraId="211C9663" w14:textId="77777777" w:rsidR="007C237A" w:rsidRPr="007C237A" w:rsidRDefault="007C237A" w:rsidP="007C237A">
      <w:pPr>
        <w:pStyle w:val="Normal0"/>
        <w:rPr>
          <w:sz w:val="20"/>
        </w:rPr>
      </w:pPr>
    </w:p>
    <w:p w14:paraId="352FA048" w14:textId="40266E20" w:rsidR="007C237A" w:rsidRPr="007C237A" w:rsidRDefault="007C237A" w:rsidP="008C71AE">
      <w:pPr>
        <w:autoSpaceDE w:val="0"/>
        <w:autoSpaceDN w:val="0"/>
        <w:adjustRightInd w:val="0"/>
        <w:spacing w:after="0" w:line="240" w:lineRule="auto"/>
        <w:jc w:val="both"/>
        <w:rPr>
          <w:sz w:val="20"/>
          <w:lang w:val="en-US"/>
        </w:rPr>
      </w:pP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[I]/[We] hereby authorize [full name of the representative</w:t>
      </w:r>
      <w:r w:rsidR="00444902">
        <w:rPr>
          <w:rFonts w:ascii="Times New Roman" w:hAnsi="Times New Roman" w:cs="Times New Roman"/>
          <w:kern w:val="0"/>
          <w:sz w:val="20"/>
          <w:szCs w:val="20"/>
          <w:lang w:val="en-US"/>
        </w:rPr>
        <w:t>]</w:t>
      </w:r>
      <w:r w:rsidR="00444902">
        <w:rPr>
          <w:rStyle w:val="Refdenotaalpie"/>
          <w:rFonts w:ascii="Times New Roman" w:hAnsi="Times New Roman" w:cs="Times New Roman"/>
          <w:kern w:val="0"/>
          <w:sz w:val="20"/>
          <w:szCs w:val="20"/>
          <w:lang w:val="en-US"/>
        </w:rPr>
        <w:footnoteReference w:id="1"/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, identified with [identity document] No. [identity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document number], so that the latter, acting individually, may represent [name of shareholder] at the 202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4 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>Annual Ordinary Shareholders' Meeting of Intercorp Financial Services Inc. ("IFS") to be held on first call on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April 1, 2024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and on second call on</w:t>
      </w:r>
      <w:r w:rsid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April 11, 2024</w:t>
      </w:r>
      <w:r w:rsidRPr="007C237A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="00A455FB" w:rsidRP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both at 9:30 am (time of Lima, Peru), in virtual mode</w:t>
      </w:r>
      <w:r w:rsidRPr="00A455FB">
        <w:rPr>
          <w:rFonts w:ascii="Times New Roman" w:hAnsi="Times New Roman" w:cs="Times New Roman"/>
          <w:kern w:val="0"/>
          <w:sz w:val="20"/>
          <w:szCs w:val="20"/>
          <w:lang w:val="en-US"/>
        </w:rPr>
        <w:t>.</w:t>
      </w:r>
    </w:p>
    <w:p w14:paraId="0F2B65A6" w14:textId="77777777" w:rsidR="007C237A" w:rsidRPr="006A0C11" w:rsidRDefault="007C237A" w:rsidP="007C237A">
      <w:pPr>
        <w:pStyle w:val="Normal0"/>
        <w:jc w:val="both"/>
        <w:rPr>
          <w:sz w:val="20"/>
        </w:rPr>
      </w:pPr>
    </w:p>
    <w:p w14:paraId="0EE74276" w14:textId="25B50195" w:rsidR="007C237A" w:rsidRPr="008C71AE" w:rsidRDefault="008C71AE" w:rsidP="008C71AE">
      <w:pPr>
        <w:autoSpaceDE w:val="0"/>
        <w:autoSpaceDN w:val="0"/>
        <w:adjustRightInd w:val="0"/>
        <w:spacing w:after="0" w:line="240" w:lineRule="auto"/>
        <w:rPr>
          <w:sz w:val="20"/>
          <w:lang w:val="en-US"/>
        </w:rPr>
      </w:pP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Mr./Mrs.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[full name of proxyholder]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is authorized to exercise on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[my][our]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>behalf the voting rights in respect</w:t>
      </w:r>
      <w:r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 xml:space="preserve">of </w:t>
      </w:r>
      <w:r w:rsidRPr="008C71AE">
        <w:rPr>
          <w:rFonts w:ascii="Times New Roman" w:hAnsi="Times New Roman" w:cs="Times New Roman"/>
          <w:i/>
          <w:iCs/>
          <w:kern w:val="0"/>
          <w:sz w:val="20"/>
          <w:szCs w:val="20"/>
          <w:lang w:val="en-US"/>
        </w:rPr>
        <w:t xml:space="preserve">[number of shares held] </w:t>
      </w:r>
      <w:r w:rsidRPr="008C71AE">
        <w:rPr>
          <w:rFonts w:ascii="Times New Roman" w:hAnsi="Times New Roman" w:cs="Times New Roman"/>
          <w:kern w:val="0"/>
          <w:sz w:val="20"/>
          <w:szCs w:val="20"/>
          <w:lang w:val="en-US"/>
        </w:rPr>
        <w:t>IFS shares at the aforementioned meeting, as set forth below</w:t>
      </w:r>
      <w:r w:rsidR="007C237A" w:rsidRPr="008C71AE">
        <w:rPr>
          <w:sz w:val="20"/>
          <w:lang w:val="en-US"/>
        </w:rPr>
        <w:t>:</w:t>
      </w:r>
    </w:p>
    <w:p w14:paraId="58ED6256" w14:textId="77777777" w:rsidR="007C237A" w:rsidRPr="008C71AE" w:rsidRDefault="007C237A" w:rsidP="007C2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lang w:val="en-US"/>
        </w:rPr>
      </w:pPr>
    </w:p>
    <w:tbl>
      <w:tblPr>
        <w:tblStyle w:val="Tablaconcuadrcula"/>
        <w:tblW w:w="9068" w:type="dxa"/>
        <w:jc w:val="center"/>
        <w:tblLook w:val="04A0" w:firstRow="1" w:lastRow="0" w:firstColumn="1" w:lastColumn="0" w:noHBand="0" w:noVBand="1"/>
      </w:tblPr>
      <w:tblGrid>
        <w:gridCol w:w="441"/>
        <w:gridCol w:w="4686"/>
        <w:gridCol w:w="1259"/>
        <w:gridCol w:w="1288"/>
        <w:gridCol w:w="1394"/>
      </w:tblGrid>
      <w:tr w:rsidR="007C237A" w:rsidRPr="00370B2A" w14:paraId="43876810" w14:textId="77777777" w:rsidTr="00647729">
        <w:trPr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2634C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N°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081D38" w14:textId="035224C5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AGENDA</w:t>
            </w:r>
            <w:r w:rsidR="00B36B95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 xml:space="preserve"> ITEMS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55D98A" w14:textId="07C8EA48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VOT</w:t>
            </w:r>
            <w:r w:rsidR="008C71AE"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E</w:t>
            </w:r>
          </w:p>
        </w:tc>
      </w:tr>
      <w:tr w:rsidR="007C237A" w:rsidRPr="00370B2A" w14:paraId="20F1836D" w14:textId="77777777" w:rsidTr="00647729">
        <w:trPr>
          <w:trHeight w:val="108"/>
          <w:jc w:val="center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AFFAFD" w14:textId="77777777" w:rsidR="007C237A" w:rsidRPr="00370B2A" w:rsidRDefault="007C237A" w:rsidP="00647729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4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3C9932" w14:textId="77777777" w:rsidR="007C237A" w:rsidRPr="00370B2A" w:rsidRDefault="007C237A" w:rsidP="00647729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CDF27A" w14:textId="274C5578" w:rsidR="007C237A" w:rsidRPr="00370B2A" w:rsidRDefault="008C71AE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FOR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DBE799" w14:textId="1F80299A" w:rsidR="007C237A" w:rsidRPr="00370B2A" w:rsidRDefault="008C71AE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AGAINST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5091AE" w14:textId="420842AB" w:rsidR="007C237A" w:rsidRPr="00370B2A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s-CO"/>
              </w:rPr>
            </w:pPr>
            <w:r w:rsidRPr="00370B2A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ABST</w:t>
            </w:r>
            <w:r w:rsidR="008C71AE">
              <w:rPr>
                <w:rFonts w:ascii="Times New Roman" w:hAnsi="Times New Roman"/>
                <w:i/>
                <w:sz w:val="20"/>
                <w:szCs w:val="20"/>
                <w:lang w:val="es-CO"/>
              </w:rPr>
              <w:t>AIN</w:t>
            </w:r>
          </w:p>
        </w:tc>
      </w:tr>
      <w:tr w:rsidR="007C237A" w:rsidRPr="00B36B95" w14:paraId="686E831C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BA8F3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B40" w14:textId="3D473C18" w:rsidR="007C237A" w:rsidRPr="006A0C11" w:rsidRDefault="008C71AE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2023 Results Presentation</w:t>
            </w:r>
            <w:r w:rsidR="007C237A"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0B2846F4" w14:textId="77777777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</w:p>
          <w:p w14:paraId="2336A3CF" w14:textId="17725059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0236F347" w14:textId="422D2678" w:rsidR="007C237A" w:rsidRPr="008C71AE" w:rsidRDefault="008C71AE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the 2023 Results Presentation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111F8B51" w14:textId="77777777" w:rsidR="007C237A" w:rsidRPr="008C71AE" w:rsidRDefault="007C237A" w:rsidP="0064772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F77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2B8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FF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B36B95" w14:paraId="0AD2455A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8AE19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89F" w14:textId="422691C1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Approval of the Annual Report for the fiscal year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4B87F932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</w:p>
          <w:p w14:paraId="3A6FE069" w14:textId="76695822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7100EF89" w14:textId="2EDCDC85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the Annual Report for the fiscal year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4BF26157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923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816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BB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B36B95" w14:paraId="5644E35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BB4092" w14:textId="77777777" w:rsidR="007C237A" w:rsidRPr="00370B2A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 w:rsidRPr="00370B2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7B2" w14:textId="3A4F6F33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Approval of the audited individual and consolidated financial in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formation (including financial statements) for the fiscal year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2898E54C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  <w:p w14:paraId="0CA15FD7" w14:textId="3B76C441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8C71A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:</w:t>
            </w:r>
          </w:p>
          <w:p w14:paraId="25E67CAB" w14:textId="4E4D4C0C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the audited individual and consolidated financial inf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ormation (including financial statements) for the fiscal year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1649837E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44F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B2A2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2B7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870219" w:rsidRPr="00B36B95" w14:paraId="1DC00508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FABFF8" w14:textId="6A8DB402" w:rsidR="00870219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0BA" w14:textId="5358442B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Presentation of results of IFS participation in the S&amp;P Global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3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Corporate Sustainability Assessment (CSA), and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presentation of 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progress in matters of sustainability (ESG).</w:t>
            </w:r>
          </w:p>
          <w:p w14:paraId="0A54B5A0" w14:textId="77777777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  <w:p w14:paraId="6EC87DBC" w14:textId="77777777" w:rsidR="00870219" w:rsidRPr="00870219" w:rsidRDefault="00870219" w:rsidP="00870219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Proposal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: </w:t>
            </w:r>
          </w:p>
          <w:p w14:paraId="65A34164" w14:textId="3D3A91E8" w:rsidR="00870219" w:rsidRPr="00870219" w:rsidRDefault="00870219" w:rsidP="0087021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acknowledge the results of IFS participation in the S&amp;P Global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3</w:t>
            </w:r>
            <w:r w:rsidRP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Corporate Sustainability Assessment (CSA) and the progress report in sustainability matters (ESG).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14A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64D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0AF" w14:textId="77777777" w:rsidR="00870219" w:rsidRPr="008C71AE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B36B95" w14:paraId="73B306A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8B5151" w14:textId="793A45BC" w:rsidR="007C237A" w:rsidRPr="00370B2A" w:rsidRDefault="00870219" w:rsidP="00647729">
            <w:pPr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A9C" w14:textId="0CA2A60E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Approval of Net Profit allocation and dividend distribution for t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he fiscal year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2E8FCD44" w14:textId="77777777" w:rsidR="007C237A" w:rsidRPr="008C71AE" w:rsidRDefault="007C237A" w:rsidP="00647729">
            <w:pPr>
              <w:ind w:left="36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s-ES"/>
              </w:rPr>
            </w:pPr>
          </w:p>
          <w:p w14:paraId="5DC28531" w14:textId="64AAA277" w:rsidR="007C237A" w:rsidRPr="006A0C11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</w:pP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Prop</w:t>
            </w:r>
            <w:r w:rsidR="008C71AE"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osal</w:t>
            </w:r>
            <w:r w:rsidRPr="006A0C11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val="en-US" w:eastAsia="es-ES"/>
              </w:rPr>
              <w:t>:</w:t>
            </w:r>
          </w:p>
          <w:p w14:paraId="0A7C85D4" w14:textId="0020C58A" w:rsidR="007C237A" w:rsidRPr="008C71AE" w:rsidRDefault="008C71AE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To approve the 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proposal for 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net profit allocation for the fiscal year 2023 and the distribution of profits as per the 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lastRenderedPageBreak/>
              <w:t>policy approved at the Annual Shareholders’ meeting held on March 31, 2023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</w:p>
          <w:p w14:paraId="6626C9B7" w14:textId="77777777" w:rsidR="007C237A" w:rsidRPr="008C71AE" w:rsidRDefault="007C237A" w:rsidP="00647729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val="en-US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80E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47A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BAC" w14:textId="77777777" w:rsidR="007C237A" w:rsidRPr="008C71AE" w:rsidRDefault="007C237A" w:rsidP="00647729">
            <w:pPr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</w:p>
        </w:tc>
      </w:tr>
      <w:tr w:rsidR="007C237A" w:rsidRPr="00B36B95" w14:paraId="7A3FFE7B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3CF60" w14:textId="45C9982D" w:rsidR="007C237A" w:rsidRPr="00370B2A" w:rsidRDefault="00870219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6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617" w14:textId="4E4E91AD" w:rsidR="007C237A" w:rsidRPr="008C71AE" w:rsidRDefault="008C71AE" w:rsidP="00647729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Approval of Dividend Policy for the fiscal year 2024</w:t>
            </w:r>
            <w:r w:rsidR="007C237A"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14:paraId="017E7D63" w14:textId="77777777" w:rsidR="007C237A" w:rsidRPr="008C71AE" w:rsidRDefault="007C237A" w:rsidP="00647729">
            <w:pPr>
              <w:ind w:left="360"/>
              <w:contextualSpacing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C9CE7F3" w14:textId="37060500" w:rsidR="007C237A" w:rsidRPr="008C71AE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Prop</w:t>
            </w:r>
            <w:r w:rsidR="008C71AE"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osal</w:t>
            </w:r>
            <w:r w:rsidRPr="008C71AE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:</w:t>
            </w:r>
          </w:p>
          <w:p w14:paraId="4CE7F16F" w14:textId="5D4AE661" w:rsidR="008C71AE" w:rsidRPr="008C71AE" w:rsidRDefault="008C71AE" w:rsidP="008C71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To approve a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dividend policy for IFS for the year 202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4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, that at least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twenty per cent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(20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%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)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of IFS</w:t>
            </w:r>
            <w:r w:rsidRPr="008C71AE">
              <w:rPr>
                <w:rFonts w:ascii="Times New Roman" w:eastAsia="Times New Roman" w:hAnsi="Times New Roman" w:hint="eastAsia"/>
                <w:i/>
                <w:sz w:val="20"/>
                <w:szCs w:val="20"/>
                <w:lang w:val="en-US" w:eastAsia="es-ES"/>
              </w:rPr>
              <w:t>’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net profit from the period shall be distributed among the shareholders, to be paid in one or more </w:t>
            </w:r>
            <w:r w:rsidR="004E4F63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opportunities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, provided that this dividend distribution policy does not violate any legal or financial requirements that IFS and/or its subsidiaries are required to meet, and provided economic-financial conditions allow for</w:t>
            </w:r>
          </w:p>
          <w:p w14:paraId="5A7B3CD4" w14:textId="60D362E6" w:rsidR="007C237A" w:rsidRPr="008C71AE" w:rsidRDefault="008C71AE" w:rsidP="008C71AE">
            <w:pPr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</w:pP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such distribution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to</w:t>
            </w:r>
            <w:r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be made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>.</w:t>
            </w:r>
            <w:r w:rsidR="00870219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The way, method and opportunity for payment will be set forth in the corresponding distribution agreement.</w:t>
            </w:r>
            <w:r w:rsidR="007C237A" w:rsidRPr="008C71A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es-ES"/>
              </w:rPr>
              <w:t xml:space="preserve"> </w:t>
            </w:r>
          </w:p>
          <w:p w14:paraId="44D97771" w14:textId="77777777" w:rsidR="007C237A" w:rsidRPr="00870219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F80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F74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BF2" w14:textId="77777777" w:rsidR="007C237A" w:rsidRPr="00870219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7C237A" w:rsidRPr="00B36B95" w14:paraId="3CCFEE50" w14:textId="77777777" w:rsidTr="00647729">
        <w:trPr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29E09" w14:textId="623433C1" w:rsidR="007C237A" w:rsidRPr="00370B2A" w:rsidRDefault="00870219" w:rsidP="00647729">
            <w:pPr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s-CO"/>
              </w:rPr>
              <w:t>7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1BB" w14:textId="02C7FF79" w:rsidR="007C237A" w:rsidRPr="008C71AE" w:rsidRDefault="008C71AE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Approval of power of attorney to formalize the decisions approve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 at the 2024 Annual Shareholders’ Meeting</w:t>
            </w:r>
            <w:r w:rsidR="007C237A" w:rsidRPr="008C71A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</w:p>
          <w:p w14:paraId="5A8EC131" w14:textId="77777777" w:rsidR="007C237A" w:rsidRPr="008C71AE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5809D0E1" w14:textId="77777777" w:rsidR="008C71AE" w:rsidRPr="006A0C11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6A0C11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Prop</w:t>
            </w:r>
            <w:r w:rsidR="008C71AE" w:rsidRPr="006A0C11">
              <w:rPr>
                <w:rFonts w:ascii="Times New Roman" w:hAnsi="Times New Roman"/>
                <w:i/>
                <w:sz w:val="20"/>
                <w:szCs w:val="20"/>
                <w:u w:val="single"/>
                <w:lang w:val="en-US"/>
              </w:rPr>
              <w:t>osal</w:t>
            </w:r>
            <w:r w:rsidRPr="006A0C11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  <w:p w14:paraId="4F1D07C0" w14:textId="7B4F8F26" w:rsidR="008C71AE" w:rsidRPr="00620833" w:rsidRDefault="00870219" w:rsidP="006208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Mr. Juan Antonio Castro Molina, identified with DNI No. 09337988 and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Mr. Jorge Antonio Calle Brush</w:t>
            </w: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identified with DNI No.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43593753</w:t>
            </w:r>
            <w:r w:rsidRPr="0087021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, either of them, individually and with their sole signature, on behalf of IFS, may execute any public or private document, minutes or public deeds, of a clarifying, modifying, corrective or supplementary nature, that may be necessary to register the resolutions adopted in the meeting before the Public Registries both in Panama and Peru</w:t>
            </w:r>
            <w:r w:rsidR="00620833" w:rsidRPr="0062083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14:paraId="6E24B9C1" w14:textId="77777777" w:rsidR="008C71AE" w:rsidRPr="00620833" w:rsidRDefault="008C71AE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319661F9" w14:textId="34FF2296" w:rsidR="007C237A" w:rsidRPr="00620833" w:rsidRDefault="007C237A" w:rsidP="00647729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03A176E" w14:textId="77777777" w:rsidR="007C237A" w:rsidRPr="006A0C11" w:rsidRDefault="007C237A" w:rsidP="00620833">
            <w:pPr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932" w14:textId="77777777" w:rsidR="007C237A" w:rsidRPr="006A0C11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BA9" w14:textId="77777777" w:rsidR="007C237A" w:rsidRPr="006A0C11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A96" w14:textId="77777777" w:rsidR="007C237A" w:rsidRPr="006A0C11" w:rsidRDefault="007C237A" w:rsidP="0064772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</w:tbl>
    <w:p w14:paraId="0FF65A64" w14:textId="77777777" w:rsidR="007C237A" w:rsidRPr="006A0C11" w:rsidRDefault="007C237A" w:rsidP="007C237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-US" w:eastAsia="es-ES"/>
        </w:rPr>
      </w:pPr>
    </w:p>
    <w:p w14:paraId="78F6744F" w14:textId="42817F96" w:rsidR="007C237A" w:rsidRPr="00620833" w:rsidRDefault="007C237A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n-US"/>
        </w:rPr>
      </w:pPr>
      <w:r w:rsidRPr="00620833">
        <w:rPr>
          <w:rFonts w:ascii="Times New Roman" w:hAnsi="Times New Roman"/>
          <w:i/>
          <w:sz w:val="20"/>
          <w:lang w:val="en-US"/>
        </w:rPr>
        <w:t>[P</w:t>
      </w:r>
      <w:r w:rsidR="00620833" w:rsidRPr="00620833">
        <w:rPr>
          <w:rFonts w:ascii="Times New Roman" w:hAnsi="Times New Roman"/>
          <w:i/>
          <w:sz w:val="20"/>
          <w:lang w:val="en-US"/>
        </w:rPr>
        <w:t xml:space="preserve">lease place an ‘X’ in the box that represents </w:t>
      </w:r>
      <w:r w:rsidR="00620833">
        <w:rPr>
          <w:rFonts w:ascii="Times New Roman" w:hAnsi="Times New Roman"/>
          <w:i/>
          <w:sz w:val="20"/>
          <w:lang w:val="en-US"/>
        </w:rPr>
        <w:t>your choice</w:t>
      </w:r>
      <w:r w:rsidRPr="00620833">
        <w:rPr>
          <w:rFonts w:ascii="Times New Roman" w:hAnsi="Times New Roman"/>
          <w:i/>
          <w:sz w:val="20"/>
          <w:lang w:val="en-US"/>
        </w:rPr>
        <w:t>]</w:t>
      </w:r>
    </w:p>
    <w:p w14:paraId="21D8ED91" w14:textId="77777777" w:rsidR="007C237A" w:rsidRPr="00620833" w:rsidRDefault="007C237A" w:rsidP="007C237A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-US" w:eastAsia="es-ES"/>
        </w:rPr>
      </w:pPr>
    </w:p>
    <w:p w14:paraId="1A1E98B0" w14:textId="37E2779A" w:rsidR="007C237A" w:rsidRPr="00EA786E" w:rsidRDefault="00620833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  <w:r>
        <w:rPr>
          <w:rFonts w:ascii="Times New Roman" w:hAnsi="Times New Roman"/>
          <w:i/>
          <w:sz w:val="20"/>
          <w:lang w:val="es-CO"/>
        </w:rPr>
        <w:t>Sincerely</w:t>
      </w:r>
      <w:r w:rsidR="007C237A" w:rsidRPr="00EA786E">
        <w:rPr>
          <w:rFonts w:ascii="Times New Roman" w:hAnsi="Times New Roman"/>
          <w:i/>
          <w:sz w:val="20"/>
          <w:lang w:val="es-CO"/>
        </w:rPr>
        <w:t>,</w:t>
      </w:r>
    </w:p>
    <w:p w14:paraId="22D45694" w14:textId="77777777" w:rsidR="007C237A" w:rsidRPr="00EA786E" w:rsidRDefault="007C237A" w:rsidP="007C237A">
      <w:pPr>
        <w:spacing w:after="0" w:line="240" w:lineRule="auto"/>
        <w:jc w:val="both"/>
        <w:rPr>
          <w:rFonts w:ascii="Times New Roman" w:hAnsi="Times New Roman"/>
          <w:i/>
          <w:sz w:val="20"/>
          <w:lang w:val="es-CO"/>
        </w:rPr>
      </w:pPr>
    </w:p>
    <w:tbl>
      <w:tblPr>
        <w:tblW w:w="4303" w:type="dxa"/>
        <w:jc w:val="center"/>
        <w:tblLook w:val="01E0" w:firstRow="1" w:lastRow="1" w:firstColumn="1" w:lastColumn="1" w:noHBand="0" w:noVBand="0"/>
      </w:tblPr>
      <w:tblGrid>
        <w:gridCol w:w="4303"/>
      </w:tblGrid>
      <w:tr w:rsidR="007C237A" w:rsidRPr="00620833" w14:paraId="6F42A6CE" w14:textId="77777777" w:rsidTr="00647729">
        <w:trPr>
          <w:jc w:val="center"/>
        </w:trPr>
        <w:tc>
          <w:tcPr>
            <w:tcW w:w="4303" w:type="dxa"/>
            <w:hideMark/>
          </w:tcPr>
          <w:p w14:paraId="470A3FE9" w14:textId="5229C47E" w:rsidR="007C237A" w:rsidRPr="00620833" w:rsidRDefault="007C237A" w:rsidP="006477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lang w:val="en-US"/>
              </w:rPr>
            </w:pPr>
            <w:r w:rsidRPr="00620833">
              <w:rPr>
                <w:rFonts w:ascii="Times New Roman" w:hAnsi="Times New Roman"/>
                <w:i/>
                <w:sz w:val="20"/>
                <w:lang w:val="en-US"/>
              </w:rPr>
              <w:t>[</w:t>
            </w:r>
            <w:r w:rsidR="00620833" w:rsidRPr="00620833">
              <w:rPr>
                <w:rFonts w:ascii="Times New Roman" w:hAnsi="Times New Roman"/>
                <w:i/>
                <w:sz w:val="20"/>
                <w:lang w:val="en-US"/>
              </w:rPr>
              <w:t>Name of Shareholder</w:t>
            </w:r>
            <w:r w:rsidRPr="00620833">
              <w:rPr>
                <w:rFonts w:ascii="Times New Roman" w:hAnsi="Times New Roman"/>
                <w:i/>
                <w:sz w:val="20"/>
                <w:lang w:val="en-US"/>
              </w:rPr>
              <w:t>]</w:t>
            </w:r>
          </w:p>
        </w:tc>
      </w:tr>
      <w:tr w:rsidR="007C237A" w:rsidRPr="00620833" w14:paraId="52DB6F24" w14:textId="77777777" w:rsidTr="00647729">
        <w:trPr>
          <w:jc w:val="center"/>
        </w:trPr>
        <w:tc>
          <w:tcPr>
            <w:tcW w:w="4303" w:type="dxa"/>
          </w:tcPr>
          <w:p w14:paraId="6B0632E1" w14:textId="77777777" w:rsidR="007C237A" w:rsidRPr="00620833" w:rsidRDefault="007C237A" w:rsidP="006477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</w:p>
          <w:p w14:paraId="67DAE04A" w14:textId="77777777" w:rsidR="007C237A" w:rsidRPr="00620833" w:rsidRDefault="007C237A" w:rsidP="006477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</w:tr>
      <w:tr w:rsidR="007C237A" w:rsidRPr="00C53356" w14:paraId="3B08898A" w14:textId="77777777" w:rsidTr="00647729">
        <w:trPr>
          <w:jc w:val="center"/>
        </w:trPr>
        <w:tc>
          <w:tcPr>
            <w:tcW w:w="4303" w:type="dxa"/>
            <w:hideMark/>
          </w:tcPr>
          <w:p w14:paraId="4743A65F" w14:textId="08DD0322" w:rsidR="007C237A" w:rsidRPr="00EA786E" w:rsidRDefault="007C237A" w:rsidP="00647729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620833">
              <w:rPr>
                <w:rFonts w:ascii="Times New Roman" w:hAnsi="Times New Roman"/>
                <w:i/>
                <w:sz w:val="20"/>
                <w:lang w:val="es-CO"/>
              </w:rPr>
              <w:t>Print Name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  <w:p w14:paraId="095272BE" w14:textId="357FD235" w:rsidR="007C237A" w:rsidRPr="00EA786E" w:rsidRDefault="007C237A" w:rsidP="00647729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lang w:val="es-CO"/>
              </w:rPr>
            </w:pP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[</w:t>
            </w:r>
            <w:r w:rsidR="00620833">
              <w:rPr>
                <w:rFonts w:ascii="Times New Roman" w:hAnsi="Times New Roman"/>
                <w:i/>
                <w:sz w:val="20"/>
                <w:lang w:val="es-CO"/>
              </w:rPr>
              <w:t>Position</w:t>
            </w:r>
            <w:r w:rsidRPr="00EA786E">
              <w:rPr>
                <w:rFonts w:ascii="Times New Roman" w:hAnsi="Times New Roman"/>
                <w:i/>
                <w:sz w:val="20"/>
                <w:lang w:val="es-CO"/>
              </w:rPr>
              <w:t>]</w:t>
            </w:r>
          </w:p>
        </w:tc>
      </w:tr>
    </w:tbl>
    <w:p w14:paraId="5191348B" w14:textId="77777777" w:rsidR="007C237A" w:rsidRPr="00EA786E" w:rsidRDefault="007C237A" w:rsidP="007C237A">
      <w:pPr>
        <w:spacing w:after="0" w:line="240" w:lineRule="auto"/>
        <w:rPr>
          <w:rFonts w:ascii="Times New Roman" w:hAnsi="Times New Roman"/>
          <w:sz w:val="20"/>
          <w:lang w:val="es-CO"/>
        </w:rPr>
      </w:pPr>
    </w:p>
    <w:p w14:paraId="4A99A84A" w14:textId="77777777" w:rsidR="007C237A" w:rsidRPr="00EA786E" w:rsidRDefault="007C237A" w:rsidP="007C237A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</w:p>
    <w:p w14:paraId="03D9F907" w14:textId="77777777" w:rsidR="007C237A" w:rsidRPr="00EA786E" w:rsidRDefault="007C237A" w:rsidP="007C237A">
      <w:pPr>
        <w:spacing w:after="0" w:line="240" w:lineRule="auto"/>
        <w:jc w:val="center"/>
        <w:rPr>
          <w:rFonts w:ascii="Times New Roman" w:hAnsi="Times New Roman"/>
          <w:sz w:val="20"/>
          <w:lang w:val="es-CO"/>
        </w:rPr>
      </w:pPr>
      <w:r w:rsidRPr="00EA786E">
        <w:rPr>
          <w:rFonts w:ascii="Times New Roman" w:hAnsi="Times New Roman"/>
          <w:sz w:val="20"/>
          <w:lang w:val="es-CO"/>
        </w:rPr>
        <w:t>*       *       *</w:t>
      </w:r>
    </w:p>
    <w:p w14:paraId="63FBF9E7" w14:textId="77777777" w:rsidR="007C237A" w:rsidRPr="00CE28C9" w:rsidRDefault="007C237A" w:rsidP="007C23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C237A" w:rsidRPr="00CE28C9" w:rsidSect="008C4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06F5" w14:textId="77777777" w:rsidR="008C4808" w:rsidRDefault="008C4808" w:rsidP="008C4808">
      <w:pPr>
        <w:spacing w:after="0" w:line="240" w:lineRule="auto"/>
      </w:pPr>
      <w:r>
        <w:separator/>
      </w:r>
    </w:p>
  </w:endnote>
  <w:endnote w:type="continuationSeparator" w:id="0">
    <w:p w14:paraId="60076D4E" w14:textId="77777777" w:rsidR="008C4808" w:rsidRDefault="008C4808" w:rsidP="008C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803F" w14:textId="77777777" w:rsidR="008C4808" w:rsidRDefault="008C48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96DF" w14:textId="0C9A59FD" w:rsidR="008C4808" w:rsidRDefault="008C4808" w:rsidP="008C4808">
    <w:pPr>
      <w:pStyle w:val="Piedepgina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4E4F63">
      <w:rPr>
        <w:rFonts w:ascii="Arial" w:hAnsi="Arial" w:cs="Arial"/>
        <w:sz w:val="16"/>
      </w:rPr>
      <w:t>4892-1095-6974,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82C1" w14:textId="77777777" w:rsidR="008C4808" w:rsidRDefault="008C48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6B9C" w14:textId="77777777" w:rsidR="008C4808" w:rsidRDefault="008C4808" w:rsidP="008C4808">
      <w:pPr>
        <w:spacing w:after="0" w:line="240" w:lineRule="auto"/>
      </w:pPr>
      <w:r>
        <w:separator/>
      </w:r>
    </w:p>
  </w:footnote>
  <w:footnote w:type="continuationSeparator" w:id="0">
    <w:p w14:paraId="71180F78" w14:textId="77777777" w:rsidR="008C4808" w:rsidRDefault="008C4808" w:rsidP="008C4808">
      <w:pPr>
        <w:spacing w:after="0" w:line="240" w:lineRule="auto"/>
      </w:pPr>
      <w:r>
        <w:continuationSeparator/>
      </w:r>
    </w:p>
  </w:footnote>
  <w:footnote w:id="1">
    <w:p w14:paraId="09EF5D6A" w14:textId="3BBC5A4D" w:rsidR="00444902" w:rsidRPr="00444902" w:rsidRDefault="00444902">
      <w:pPr>
        <w:pStyle w:val="Textonotapie"/>
        <w:rPr>
          <w:rFonts w:ascii="Times New Roman" w:hAnsi="Times New Roman" w:cs="Times New Roman"/>
          <w:lang w:val="en-US"/>
        </w:rPr>
      </w:pPr>
      <w:r w:rsidRPr="00444902">
        <w:rPr>
          <w:rStyle w:val="Refdenotaalpie"/>
          <w:rFonts w:ascii="Times New Roman" w:hAnsi="Times New Roman" w:cs="Times New Roman"/>
        </w:rPr>
        <w:footnoteRef/>
      </w:r>
      <w:r w:rsidRPr="00444902">
        <w:rPr>
          <w:rFonts w:ascii="Times New Roman" w:hAnsi="Times New Roman" w:cs="Times New Roman"/>
          <w:lang w:val="en-US"/>
        </w:rPr>
        <w:t xml:space="preserve"> Shareholders may </w:t>
      </w:r>
      <w:r w:rsidR="004E4F63">
        <w:rPr>
          <w:rFonts w:ascii="Times New Roman" w:hAnsi="Times New Roman" w:cs="Times New Roman"/>
          <w:lang w:val="en-US"/>
        </w:rPr>
        <w:t xml:space="preserve">appoint current </w:t>
      </w:r>
      <w:r w:rsidRPr="00444902">
        <w:rPr>
          <w:rFonts w:ascii="Times New Roman" w:hAnsi="Times New Roman" w:cs="Times New Roman"/>
          <w:lang w:val="en-US"/>
        </w:rPr>
        <w:t>IFS</w:t>
      </w:r>
      <w:r w:rsidR="004E4F63">
        <w:rPr>
          <w:rFonts w:ascii="Times New Roman" w:hAnsi="Times New Roman" w:cs="Times New Roman"/>
          <w:lang w:val="en-US"/>
        </w:rPr>
        <w:t xml:space="preserve"> directors and officers to act as proxyholders</w:t>
      </w:r>
      <w:r w:rsidRPr="00444902">
        <w:rPr>
          <w:rFonts w:ascii="Times New Roman" w:hAnsi="Times New Roman" w:cs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E796" w14:textId="77777777" w:rsidR="008C4808" w:rsidRDefault="008C48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CD4" w14:textId="15FCDD4B" w:rsidR="008C4808" w:rsidRDefault="008C480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0C248B6" wp14:editId="7CFC97AB">
          <wp:simplePos x="0" y="0"/>
          <wp:positionH relativeFrom="margin">
            <wp:posOffset>3305175</wp:posOffset>
          </wp:positionH>
          <wp:positionV relativeFrom="topMargin">
            <wp:posOffset>324485</wp:posOffset>
          </wp:positionV>
          <wp:extent cx="2642235" cy="32766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69818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AD71" w14:textId="77777777" w:rsidR="008C4808" w:rsidRDefault="008C48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D89"/>
    <w:multiLevelType w:val="hybridMultilevel"/>
    <w:tmpl w:val="9FCAA53E"/>
    <w:lvl w:ilvl="0" w:tplc="3A10F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3671"/>
    <w:multiLevelType w:val="hybridMultilevel"/>
    <w:tmpl w:val="8B4AFA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D9E"/>
    <w:multiLevelType w:val="hybridMultilevel"/>
    <w:tmpl w:val="12B63DF8"/>
    <w:lvl w:ilvl="0" w:tplc="63005C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8ED"/>
    <w:multiLevelType w:val="hybridMultilevel"/>
    <w:tmpl w:val="40AED586"/>
    <w:lvl w:ilvl="0" w:tplc="120822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B6D38"/>
    <w:multiLevelType w:val="hybridMultilevel"/>
    <w:tmpl w:val="FF8EB35A"/>
    <w:lvl w:ilvl="0" w:tplc="F1A2986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B77686"/>
    <w:multiLevelType w:val="hybridMultilevel"/>
    <w:tmpl w:val="756AC3B0"/>
    <w:lvl w:ilvl="0" w:tplc="FC9A2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7043F"/>
    <w:multiLevelType w:val="hybridMultilevel"/>
    <w:tmpl w:val="C03AEE06"/>
    <w:lvl w:ilvl="0" w:tplc="761EF83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74A1910"/>
    <w:multiLevelType w:val="hybridMultilevel"/>
    <w:tmpl w:val="20BE6046"/>
    <w:lvl w:ilvl="0" w:tplc="64E04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FF43C1"/>
    <w:multiLevelType w:val="hybridMultilevel"/>
    <w:tmpl w:val="06009F66"/>
    <w:lvl w:ilvl="0" w:tplc="AFC21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40255">
    <w:abstractNumId w:val="1"/>
  </w:num>
  <w:num w:numId="2" w16cid:durableId="1736049774">
    <w:abstractNumId w:val="7"/>
  </w:num>
  <w:num w:numId="3" w16cid:durableId="992876229">
    <w:abstractNumId w:val="2"/>
  </w:num>
  <w:num w:numId="4" w16cid:durableId="1537037675">
    <w:abstractNumId w:val="6"/>
  </w:num>
  <w:num w:numId="5" w16cid:durableId="613244186">
    <w:abstractNumId w:val="5"/>
  </w:num>
  <w:num w:numId="6" w16cid:durableId="542795519">
    <w:abstractNumId w:val="3"/>
  </w:num>
  <w:num w:numId="7" w16cid:durableId="1797601334">
    <w:abstractNumId w:val="0"/>
  </w:num>
  <w:num w:numId="8" w16cid:durableId="1788772019">
    <w:abstractNumId w:val="4"/>
  </w:num>
  <w:num w:numId="9" w16cid:durableId="62504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92-1095-6974, v. 1"/>
    <w:docVar w:name="ndGeneratedStampLocation" w:val="EachPage"/>
  </w:docVars>
  <w:rsids>
    <w:rsidRoot w:val="008C4808"/>
    <w:rsid w:val="000877A8"/>
    <w:rsid w:val="00444902"/>
    <w:rsid w:val="004E4F63"/>
    <w:rsid w:val="005330A0"/>
    <w:rsid w:val="00581996"/>
    <w:rsid w:val="00620833"/>
    <w:rsid w:val="00671CEF"/>
    <w:rsid w:val="00687C94"/>
    <w:rsid w:val="006A0C11"/>
    <w:rsid w:val="007C237A"/>
    <w:rsid w:val="00870219"/>
    <w:rsid w:val="008717EB"/>
    <w:rsid w:val="008C4808"/>
    <w:rsid w:val="008C71AE"/>
    <w:rsid w:val="008F5F16"/>
    <w:rsid w:val="00932909"/>
    <w:rsid w:val="00A205CA"/>
    <w:rsid w:val="00A455FB"/>
    <w:rsid w:val="00B36B95"/>
    <w:rsid w:val="00BB33C2"/>
    <w:rsid w:val="00C0204B"/>
    <w:rsid w:val="00C7735A"/>
    <w:rsid w:val="00CE28C9"/>
    <w:rsid w:val="00D325CC"/>
    <w:rsid w:val="00E74BB5"/>
    <w:rsid w:val="00ED0B19"/>
    <w:rsid w:val="00F2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225B2"/>
  <w15:chartTrackingRefBased/>
  <w15:docId w15:val="{0E79BB06-76C6-4BDF-9BA6-EFDE4F8F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8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8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8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8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8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8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8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8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8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8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8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808"/>
  </w:style>
  <w:style w:type="paragraph" w:styleId="Piedepgina">
    <w:name w:val="footer"/>
    <w:basedOn w:val="Normal"/>
    <w:link w:val="PiedepginaCar"/>
    <w:uiPriority w:val="99"/>
    <w:unhideWhenUsed/>
    <w:rsid w:val="008C4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808"/>
  </w:style>
  <w:style w:type="character" w:styleId="Hipervnculo">
    <w:name w:val="Hyperlink"/>
    <w:basedOn w:val="Fuentedeprrafopredeter"/>
    <w:uiPriority w:val="99"/>
    <w:unhideWhenUsed/>
    <w:rsid w:val="005819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99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C237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237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237A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C237A"/>
    <w:rPr>
      <w:vertAlign w:val="superscript"/>
    </w:rPr>
  </w:style>
  <w:style w:type="paragraph" w:customStyle="1" w:styleId="Normal0">
    <w:name w:val="Normal_0"/>
    <w:qFormat/>
    <w:rsid w:val="007C2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A015AD38F364EBFC8227BD935D619" ma:contentTypeVersion="17" ma:contentTypeDescription="Crear nuevo documento." ma:contentTypeScope="" ma:versionID="f52324606d94590fccaaa8a579e54586">
  <xsd:schema xmlns:xsd="http://www.w3.org/2001/XMLSchema" xmlns:xs="http://www.w3.org/2001/XMLSchema" xmlns:p="http://schemas.microsoft.com/office/2006/metadata/properties" xmlns:ns2="9eb6c8de-7d91-486f-b200-b43ad6f8b078" xmlns:ns3="816fd00f-3793-40ac-a962-5e9dd3a104d9" targetNamespace="http://schemas.microsoft.com/office/2006/metadata/properties" ma:root="true" ma:fieldsID="4eb14433f70991bfb4e81690585e2f05" ns2:_="" ns3:_="">
    <xsd:import namespace="9eb6c8de-7d91-486f-b200-b43ad6f8b078"/>
    <xsd:import namespace="816fd00f-3793-40ac-a962-5e9dd3a10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6c8de-7d91-486f-b200-b43ad6f8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36f5af2-fc6c-420d-9bfd-1e8839ff1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d00f-3793-40ac-a962-5e9dd3a104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401d7-1b7f-4619-88e0-faf024c1e19b}" ma:internalName="TaxCatchAll" ma:showField="CatchAllData" ma:web="816fd00f-3793-40ac-a962-5e9dd3a10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95F3B-9C14-4672-B17A-C4342CF95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693617-0B53-440B-B1E7-2C556E12742A}"/>
</file>

<file path=customXml/itemProps3.xml><?xml version="1.0" encoding="utf-8"?>
<ds:datastoreItem xmlns:ds="http://schemas.openxmlformats.org/officeDocument/2006/customXml" ds:itemID="{E5D9DBFF-A167-4A9A-BC8F-3E402BD25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 Brush, Jorge Antonio</dc:creator>
  <cp:keywords/>
  <dc:description/>
  <cp:lastModifiedBy>Calle Brush, Jorge Antonio</cp:lastModifiedBy>
  <cp:revision>5</cp:revision>
  <dcterms:created xsi:type="dcterms:W3CDTF">2024-03-18T13:31:00Z</dcterms:created>
  <dcterms:modified xsi:type="dcterms:W3CDTF">2024-03-18T14:04:00Z</dcterms:modified>
</cp:coreProperties>
</file>